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029" w:rsidRDefault="00F80084" w:rsidP="00F80084">
      <w:pPr>
        <w:spacing w:line="480" w:lineRule="auto"/>
        <w:jc w:val="both"/>
        <w:rPr>
          <w:rFonts w:ascii="Verdana" w:eastAsia="Times New Roman" w:hAnsi="Verdana" w:cs="Times New Roman"/>
          <w:color w:val="333333"/>
          <w:sz w:val="17"/>
          <w:szCs w:val="17"/>
        </w:rPr>
      </w:pPr>
      <w:bookmarkStart w:id="0" w:name="_GoBack"/>
      <w:ins w:id="1" w:author="Prof. Sunethra" w:date="2023-02-04T12:15:00Z">
        <w:r>
          <w:rPr>
            <w:rFonts w:ascii="Verdana" w:eastAsia="Times New Roman" w:hAnsi="Verdana" w:cs="Times New Roman"/>
            <w:color w:val="333333"/>
            <w:sz w:val="17"/>
            <w:szCs w:val="17"/>
          </w:rPr>
          <w:t xml:space="preserve">Effect of </w:t>
        </w:r>
      </w:ins>
      <w:r w:rsidRPr="00F80084">
        <w:rPr>
          <w:rFonts w:ascii="Verdana" w:eastAsia="Times New Roman" w:hAnsi="Verdana" w:cs="Times New Roman"/>
          <w:color w:val="333333"/>
          <w:sz w:val="17"/>
          <w:szCs w:val="17"/>
        </w:rPr>
        <w:t xml:space="preserve">Nutrient Exchange </w:t>
      </w:r>
      <w:ins w:id="2" w:author="Prof. Sunethra" w:date="2023-02-04T12:13:00Z">
        <w:r>
          <w:rPr>
            <w:rFonts w:ascii="Verdana" w:eastAsia="Times New Roman" w:hAnsi="Verdana" w:cs="Times New Roman"/>
            <w:color w:val="333333"/>
            <w:sz w:val="17"/>
            <w:szCs w:val="17"/>
          </w:rPr>
          <w:t>capacities in</w:t>
        </w:r>
      </w:ins>
      <w:del w:id="3" w:author="Prof. Sunethra" w:date="2023-02-04T12:13:00Z">
        <w:r w:rsidRPr="00F80084" w:rsidDel="00F80084">
          <w:rPr>
            <w:rFonts w:ascii="Verdana" w:eastAsia="Times New Roman" w:hAnsi="Verdana" w:cs="Times New Roman"/>
            <w:color w:val="333333"/>
            <w:sz w:val="17"/>
            <w:szCs w:val="17"/>
          </w:rPr>
          <w:delText>by</w:delText>
        </w:r>
      </w:del>
      <w:r w:rsidRPr="00F80084">
        <w:rPr>
          <w:rFonts w:ascii="Verdana" w:eastAsia="Times New Roman" w:hAnsi="Verdana" w:cs="Times New Roman"/>
          <w:color w:val="333333"/>
          <w:sz w:val="17"/>
          <w:szCs w:val="17"/>
        </w:rPr>
        <w:t xml:space="preserve"> Cinnamon (</w:t>
      </w:r>
      <w:proofErr w:type="spellStart"/>
      <w:r w:rsidRPr="00F80084">
        <w:rPr>
          <w:rFonts w:ascii="Verdana" w:eastAsia="Times New Roman" w:hAnsi="Verdana" w:cs="Times New Roman"/>
          <w:color w:val="333333"/>
          <w:sz w:val="17"/>
          <w:szCs w:val="17"/>
        </w:rPr>
        <w:t>Cinnamomum</w:t>
      </w:r>
      <w:proofErr w:type="spellEnd"/>
      <w:r w:rsidRPr="00F80084">
        <w:rPr>
          <w:rFonts w:ascii="Verdana" w:eastAsia="Times New Roman" w:hAnsi="Verdana" w:cs="Times New Roman"/>
          <w:color w:val="333333"/>
          <w:sz w:val="17"/>
          <w:szCs w:val="17"/>
        </w:rPr>
        <w:t xml:space="preserve"> </w:t>
      </w:r>
      <w:proofErr w:type="spellStart"/>
      <w:r w:rsidRPr="00F80084">
        <w:rPr>
          <w:rFonts w:ascii="Verdana" w:eastAsia="Times New Roman" w:hAnsi="Verdana" w:cs="Times New Roman"/>
          <w:color w:val="333333"/>
          <w:sz w:val="17"/>
          <w:szCs w:val="17"/>
        </w:rPr>
        <w:t>zeylanicum</w:t>
      </w:r>
      <w:proofErr w:type="spellEnd"/>
      <w:r w:rsidRPr="00F80084">
        <w:rPr>
          <w:rFonts w:ascii="Verdana" w:eastAsia="Times New Roman" w:hAnsi="Verdana" w:cs="Times New Roman"/>
          <w:color w:val="333333"/>
          <w:sz w:val="17"/>
          <w:szCs w:val="17"/>
        </w:rPr>
        <w:t xml:space="preserve"> Blume) Wood Biochar </w:t>
      </w:r>
      <w:ins w:id="4" w:author="Prof. Sunethra" w:date="2023-02-04T12:14:00Z">
        <w:r>
          <w:rPr>
            <w:rFonts w:ascii="Verdana" w:eastAsia="Times New Roman" w:hAnsi="Verdana" w:cs="Times New Roman"/>
            <w:color w:val="333333"/>
            <w:sz w:val="17"/>
            <w:szCs w:val="17"/>
          </w:rPr>
          <w:t xml:space="preserve">prepared by different methods </w:t>
        </w:r>
      </w:ins>
      <w:del w:id="5" w:author="Prof. Sunethra" w:date="2023-02-04T12:14:00Z">
        <w:r w:rsidRPr="00F80084" w:rsidDel="00F80084">
          <w:rPr>
            <w:rFonts w:ascii="Verdana" w:eastAsia="Times New Roman" w:hAnsi="Verdana" w:cs="Times New Roman"/>
            <w:color w:val="333333"/>
            <w:sz w:val="17"/>
            <w:szCs w:val="17"/>
          </w:rPr>
          <w:delText>as Affected by the Methods of Preparation</w:delText>
        </w:r>
      </w:del>
    </w:p>
    <w:p w:rsidR="00F80084" w:rsidRDefault="00F80084" w:rsidP="00F80084">
      <w:pPr>
        <w:spacing w:line="480" w:lineRule="auto"/>
        <w:jc w:val="both"/>
      </w:pPr>
      <w:r w:rsidRPr="00F80084">
        <w:rPr>
          <w:rFonts w:ascii="Verdana" w:eastAsia="Times New Roman" w:hAnsi="Verdana" w:cs="Times New Roman"/>
          <w:color w:val="333333"/>
          <w:sz w:val="17"/>
          <w:szCs w:val="17"/>
        </w:rPr>
        <w:t xml:space="preserve">In commercial level, most of the growers used higher dose of inorganic fertilizers causing soil degradation. More inorganic fertilizers caused </w:t>
      </w:r>
      <w:del w:id="6" w:author="Prof. Sunethra" w:date="2023-02-04T12:16:00Z">
        <w:r w:rsidRPr="00F80084" w:rsidDel="00F80084">
          <w:rPr>
            <w:rFonts w:ascii="Verdana" w:eastAsia="Times New Roman" w:hAnsi="Verdana" w:cs="Times New Roman"/>
            <w:color w:val="333333"/>
            <w:sz w:val="17"/>
            <w:szCs w:val="17"/>
          </w:rPr>
          <w:delText xml:space="preserve">to problem of </w:delText>
        </w:r>
      </w:del>
      <w:r w:rsidRPr="00F80084">
        <w:rPr>
          <w:rFonts w:ascii="Verdana" w:eastAsia="Times New Roman" w:hAnsi="Verdana" w:cs="Times New Roman"/>
          <w:color w:val="333333"/>
          <w:sz w:val="17"/>
          <w:szCs w:val="17"/>
        </w:rPr>
        <w:t>nutrient retention and leaching</w:t>
      </w:r>
      <w:ins w:id="7" w:author="Prof. Sunethra" w:date="2023-02-04T12:17:00Z">
        <w:r>
          <w:rPr>
            <w:rFonts w:ascii="Verdana" w:eastAsia="Times New Roman" w:hAnsi="Verdana" w:cs="Times New Roman"/>
            <w:color w:val="333333"/>
            <w:sz w:val="17"/>
            <w:szCs w:val="17"/>
          </w:rPr>
          <w:t xml:space="preserve"> problems</w:t>
        </w:r>
      </w:ins>
      <w:r w:rsidRPr="00F80084">
        <w:rPr>
          <w:rFonts w:ascii="Verdana" w:eastAsia="Times New Roman" w:hAnsi="Verdana" w:cs="Times New Roman"/>
          <w:color w:val="333333"/>
          <w:sz w:val="17"/>
          <w:szCs w:val="17"/>
        </w:rPr>
        <w:t xml:space="preserve">. In Sri Lanka, cinnamon used mostly as a firewood. Present study aims to test the effect to different methods of biochar preparation using cinnamon wood in relation to nutrient exchange properties. Biochar was prepared using different methods. Muffle furnace method 1 hour at 600 </w:t>
      </w:r>
      <w:proofErr w:type="spellStart"/>
      <w:r w:rsidRPr="00F80084">
        <w:rPr>
          <w:rFonts w:ascii="Verdana" w:eastAsia="Times New Roman" w:hAnsi="Verdana" w:cs="Times New Roman"/>
          <w:color w:val="333333"/>
          <w:sz w:val="17"/>
          <w:szCs w:val="17"/>
        </w:rPr>
        <w:t>celsius</w:t>
      </w:r>
      <w:proofErr w:type="spellEnd"/>
      <w:r w:rsidRPr="00F80084">
        <w:rPr>
          <w:rFonts w:ascii="Verdana" w:eastAsia="Times New Roman" w:hAnsi="Verdana" w:cs="Times New Roman"/>
          <w:color w:val="333333"/>
          <w:sz w:val="17"/>
          <w:szCs w:val="17"/>
        </w:rPr>
        <w:t xml:space="preserve"> (T2), cone pit method with burning time at 50 minutes (T3) and 70 minutes (T4), double barrel method with burning time at 70 minutes (T5) and 90 minutes (T6) used as treatments. Sieved subsoil and biochar mixed 1:1 ratio as volume basis. Control treatments (T1) only filled with subsoil. Media was filled in to the 18 columns and 1.7L of water was added to each column for saturation. Water was drained out after 24 hours. Beginning and the middle of the experiment, 600ml of Nutrient solution (20% Urea, 10% </w:t>
      </w:r>
      <w:proofErr w:type="spellStart"/>
      <w:r w:rsidRPr="00F80084">
        <w:rPr>
          <w:rFonts w:ascii="Verdana" w:eastAsia="Times New Roman" w:hAnsi="Verdana" w:cs="Times New Roman"/>
          <w:color w:val="333333"/>
          <w:sz w:val="17"/>
          <w:szCs w:val="17"/>
        </w:rPr>
        <w:t>Muriate</w:t>
      </w:r>
      <w:proofErr w:type="spellEnd"/>
      <w:r w:rsidRPr="00F80084">
        <w:rPr>
          <w:rFonts w:ascii="Verdana" w:eastAsia="Times New Roman" w:hAnsi="Verdana" w:cs="Times New Roman"/>
          <w:color w:val="333333"/>
          <w:sz w:val="17"/>
          <w:szCs w:val="17"/>
        </w:rPr>
        <w:t xml:space="preserve"> of Potash and 10% Triple Supper Phosphate) was added into each column and drained out after 24 hours. One liter of water was added and drained out after 24 hours. It was done continuously for 2-month period and every 8 day intervals samples were taken for the analysis. Initial media of cinnamon wood biochar consist with nutrients</w:t>
      </w:r>
      <w:ins w:id="8" w:author="Prof. Sunethra" w:date="2023-02-04T12:21:00Z">
        <w:r w:rsidR="00B10B32">
          <w:rPr>
            <w:rFonts w:ascii="Verdana" w:eastAsia="Times New Roman" w:hAnsi="Verdana" w:cs="Times New Roman"/>
            <w:color w:val="333333"/>
            <w:sz w:val="17"/>
            <w:szCs w:val="17"/>
          </w:rPr>
          <w:t xml:space="preserve"> (quantities should be given)</w:t>
        </w:r>
      </w:ins>
      <w:r w:rsidRPr="00F80084">
        <w:rPr>
          <w:rFonts w:ascii="Verdana" w:eastAsia="Times New Roman" w:hAnsi="Verdana" w:cs="Times New Roman"/>
          <w:color w:val="333333"/>
          <w:sz w:val="17"/>
          <w:szCs w:val="17"/>
        </w:rPr>
        <w:t>. Nitrogen lose from the soil can dramatically be reduced by treating the soil with T5 and T6 among the best in terms of nitrogen retention in the soil</w:t>
      </w:r>
      <w:ins w:id="9" w:author="Prof. Sunethra" w:date="2023-02-04T12:21:00Z">
        <w:r w:rsidR="00B10B32">
          <w:rPr>
            <w:rFonts w:ascii="Verdana" w:eastAsia="Times New Roman" w:hAnsi="Verdana" w:cs="Times New Roman"/>
            <w:color w:val="333333"/>
            <w:sz w:val="17"/>
            <w:szCs w:val="17"/>
          </w:rPr>
          <w:t xml:space="preserve"> (what is the reason?? Should be mentioned)</w:t>
        </w:r>
      </w:ins>
      <w:r w:rsidRPr="00F80084">
        <w:rPr>
          <w:rFonts w:ascii="Verdana" w:eastAsia="Times New Roman" w:hAnsi="Verdana" w:cs="Times New Roman"/>
          <w:color w:val="333333"/>
          <w:sz w:val="17"/>
          <w:szCs w:val="17"/>
        </w:rPr>
        <w:t>. Phosphorus was lost in most treatments</w:t>
      </w:r>
      <w:ins w:id="10" w:author="Prof. Sunethra" w:date="2023-02-04T12:21:00Z">
        <w:r w:rsidR="00B10B32">
          <w:rPr>
            <w:rFonts w:ascii="Verdana" w:eastAsia="Times New Roman" w:hAnsi="Verdana" w:cs="Times New Roman"/>
            <w:color w:val="333333"/>
            <w:sz w:val="17"/>
            <w:szCs w:val="17"/>
          </w:rPr>
          <w:t xml:space="preserve"> (how much</w:t>
        </w:r>
      </w:ins>
      <w:ins w:id="11" w:author="Prof. Sunethra" w:date="2023-02-04T12:22:00Z">
        <w:r w:rsidR="00B10B32">
          <w:rPr>
            <w:rFonts w:ascii="Verdana" w:eastAsia="Times New Roman" w:hAnsi="Verdana" w:cs="Times New Roman"/>
            <w:color w:val="333333"/>
            <w:sz w:val="17"/>
            <w:szCs w:val="17"/>
          </w:rPr>
          <w:t>??</w:t>
        </w:r>
      </w:ins>
      <w:ins w:id="12" w:author="Prof. Sunethra" w:date="2023-02-04T12:21:00Z">
        <w:r w:rsidR="00B10B32">
          <w:rPr>
            <w:rFonts w:ascii="Verdana" w:eastAsia="Times New Roman" w:hAnsi="Verdana" w:cs="Times New Roman"/>
            <w:color w:val="333333"/>
            <w:sz w:val="17"/>
            <w:szCs w:val="17"/>
          </w:rPr>
          <w:t>)</w:t>
        </w:r>
      </w:ins>
      <w:r w:rsidRPr="00F80084">
        <w:rPr>
          <w:rFonts w:ascii="Verdana" w:eastAsia="Times New Roman" w:hAnsi="Verdana" w:cs="Times New Roman"/>
          <w:color w:val="333333"/>
          <w:sz w:val="17"/>
          <w:szCs w:val="17"/>
        </w:rPr>
        <w:t>; however available phosphorus has in T6 in final media</w:t>
      </w:r>
      <w:ins w:id="13" w:author="Prof. Sunethra" w:date="2023-02-04T12:22:00Z">
        <w:r w:rsidR="00B10B32">
          <w:rPr>
            <w:rFonts w:ascii="Verdana" w:eastAsia="Times New Roman" w:hAnsi="Verdana" w:cs="Times New Roman"/>
            <w:color w:val="333333"/>
            <w:sz w:val="17"/>
            <w:szCs w:val="17"/>
          </w:rPr>
          <w:t xml:space="preserve"> (</w:t>
        </w:r>
        <w:proofErr w:type="spellStart"/>
        <w:r w:rsidR="00B10B32">
          <w:rPr>
            <w:rFonts w:ascii="Verdana" w:eastAsia="Times New Roman" w:hAnsi="Verdana" w:cs="Times New Roman"/>
            <w:color w:val="333333"/>
            <w:sz w:val="17"/>
            <w:szCs w:val="17"/>
          </w:rPr>
          <w:t>Qunatity</w:t>
        </w:r>
        <w:proofErr w:type="spellEnd"/>
        <w:r w:rsidR="00B10B32">
          <w:rPr>
            <w:rFonts w:ascii="Verdana" w:eastAsia="Times New Roman" w:hAnsi="Verdana" w:cs="Times New Roman"/>
            <w:color w:val="333333"/>
            <w:sz w:val="17"/>
            <w:szCs w:val="17"/>
          </w:rPr>
          <w:t>??)</w:t>
        </w:r>
      </w:ins>
      <w:r w:rsidRPr="00F80084">
        <w:rPr>
          <w:rFonts w:ascii="Verdana" w:eastAsia="Times New Roman" w:hAnsi="Verdana" w:cs="Times New Roman"/>
          <w:color w:val="333333"/>
          <w:sz w:val="17"/>
          <w:szCs w:val="17"/>
        </w:rPr>
        <w:t>. In addition to the retention of nitrogen, phosphorus and potassium, biochar also contributes P and K to the soil</w:t>
      </w:r>
      <w:ins w:id="14" w:author="Prof. Sunethra" w:date="2023-02-04T12:23:00Z">
        <w:r w:rsidR="00B10B32">
          <w:rPr>
            <w:rFonts w:ascii="Verdana" w:eastAsia="Times New Roman" w:hAnsi="Verdana" w:cs="Times New Roman"/>
            <w:color w:val="333333"/>
            <w:sz w:val="17"/>
            <w:szCs w:val="17"/>
          </w:rPr>
          <w:t xml:space="preserve"> (did you measure them? Write it as values and possible reasons for releasing P and K)</w:t>
        </w:r>
      </w:ins>
      <w:r w:rsidRPr="00F80084">
        <w:rPr>
          <w:rFonts w:ascii="Verdana" w:eastAsia="Times New Roman" w:hAnsi="Verdana" w:cs="Times New Roman"/>
          <w:color w:val="333333"/>
          <w:sz w:val="17"/>
          <w:szCs w:val="17"/>
        </w:rPr>
        <w:t>. Cinnamon wood biochar preparation methods affect nutrient retention as soil amendment</w:t>
      </w:r>
      <w:ins w:id="15" w:author="Prof. Sunethra" w:date="2023-02-04T12:23:00Z">
        <w:r w:rsidR="00B10B32">
          <w:rPr>
            <w:rFonts w:ascii="Verdana" w:eastAsia="Times New Roman" w:hAnsi="Verdana" w:cs="Times New Roman"/>
            <w:color w:val="333333"/>
            <w:sz w:val="17"/>
            <w:szCs w:val="17"/>
          </w:rPr>
          <w:t xml:space="preserve"> (why??)</w:t>
        </w:r>
      </w:ins>
      <w:r w:rsidRPr="00F80084">
        <w:rPr>
          <w:rFonts w:ascii="Verdana" w:eastAsia="Times New Roman" w:hAnsi="Verdana" w:cs="Times New Roman"/>
          <w:color w:val="333333"/>
          <w:sz w:val="17"/>
          <w:szCs w:val="17"/>
        </w:rPr>
        <w:t>.</w:t>
      </w:r>
      <w:ins w:id="16" w:author="Prof. Sunethra" w:date="2023-02-04T12:24:00Z">
        <w:r w:rsidR="00B10B32">
          <w:rPr>
            <w:rFonts w:ascii="Verdana" w:eastAsia="Times New Roman" w:hAnsi="Verdana" w:cs="Times New Roman"/>
            <w:color w:val="333333"/>
            <w:sz w:val="17"/>
            <w:szCs w:val="17"/>
          </w:rPr>
          <w:t xml:space="preserve"> </w:t>
        </w:r>
        <w:proofErr w:type="gramStart"/>
        <w:r w:rsidR="00B10B32">
          <w:rPr>
            <w:rFonts w:ascii="Verdana" w:eastAsia="Times New Roman" w:hAnsi="Verdana" w:cs="Times New Roman"/>
            <w:color w:val="333333"/>
            <w:sz w:val="17"/>
            <w:szCs w:val="17"/>
          </w:rPr>
          <w:t>cinnamon</w:t>
        </w:r>
        <w:proofErr w:type="gramEnd"/>
        <w:r w:rsidR="00B10B32">
          <w:rPr>
            <w:rFonts w:ascii="Verdana" w:eastAsia="Times New Roman" w:hAnsi="Verdana" w:cs="Times New Roman"/>
            <w:color w:val="333333"/>
            <w:sz w:val="17"/>
            <w:szCs w:val="17"/>
          </w:rPr>
          <w:t xml:space="preserve"> biochar prepared by different method should tested to get idea about the characterizations using FTIR</w:t>
        </w:r>
      </w:ins>
      <w:ins w:id="17" w:author="Prof. Sunethra" w:date="2023-02-04T12:25:00Z">
        <w:r w:rsidR="00B10B32">
          <w:rPr>
            <w:rFonts w:ascii="Verdana" w:eastAsia="Times New Roman" w:hAnsi="Verdana" w:cs="Times New Roman"/>
            <w:color w:val="333333"/>
            <w:sz w:val="17"/>
            <w:szCs w:val="17"/>
          </w:rPr>
          <w:t>.</w:t>
        </w:r>
      </w:ins>
      <w:bookmarkEnd w:id="0"/>
    </w:p>
    <w:sectPr w:rsidR="00F80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of. Sunethra">
    <w15:presenceInfo w15:providerId="None" w15:userId="Prof. Suneth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084"/>
    <w:rsid w:val="00B10B32"/>
    <w:rsid w:val="00D96029"/>
    <w:rsid w:val="00F80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08C60-D16B-4EBF-B42D-93D0C434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71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Sunethra</dc:creator>
  <cp:keywords/>
  <dc:description/>
  <cp:lastModifiedBy>Prof. Sunethra</cp:lastModifiedBy>
  <cp:revision>1</cp:revision>
  <dcterms:created xsi:type="dcterms:W3CDTF">2023-02-04T06:37:00Z</dcterms:created>
  <dcterms:modified xsi:type="dcterms:W3CDTF">2023-02-04T06:56:00Z</dcterms:modified>
</cp:coreProperties>
</file>