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1E" w:rsidRDefault="009D5ED1" w:rsidP="00B10427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</w:pP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Present Status of Postharvest Practices of Guava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Psidium</w:t>
      </w:r>
      <w:proofErr w:type="spellEnd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guajava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,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Bitter Gourd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Momordica</w:t>
      </w:r>
      <w:proofErr w:type="spellEnd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charantia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,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and Long Bean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Vigna</w:t>
      </w:r>
      <w:proofErr w:type="spellEnd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unguiculata</w:t>
      </w:r>
      <w:proofErr w:type="spellEnd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ssp.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sesquipedalis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in Anuradhapura and </w:t>
      </w:r>
      <w:proofErr w:type="spellStart"/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Kurunegala</w:t>
      </w:r>
      <w:proofErr w:type="spellEnd"/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 Districts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.</w:t>
      </w:r>
    </w:p>
    <w:p w:rsidR="009D5ED1" w:rsidRPr="002D778F" w:rsidRDefault="00C5198D" w:rsidP="009D5ED1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C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en-GB"/>
        </w:rPr>
        <w:t>A.M.R.N. Bandara</w:t>
      </w:r>
      <w:r w:rsidRPr="00C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vertAlign w:val="superscript"/>
          <w:lang w:eastAsia="en-GB"/>
        </w:rPr>
        <w:t>1</w:t>
      </w:r>
      <w:r w:rsidR="000B03D8" w:rsidRPr="00EF1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G.D.K.Kumara</w:t>
      </w:r>
      <w:r w:rsidR="00EF1E8E" w:rsidRPr="00EF1E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1</w:t>
      </w:r>
      <w:r w:rsidR="002D77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2D778F" w:rsidRPr="002D77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D778F" w:rsidRPr="00C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W.M.C.B.Wasala</w:t>
      </w:r>
      <w:r w:rsidR="002D778F" w:rsidRPr="00C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2</w:t>
      </w:r>
    </w:p>
    <w:p w:rsidR="00C5198D" w:rsidRPr="00C336C8" w:rsidRDefault="00C5198D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</w:pPr>
      <w:r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vertAlign w:val="superscript"/>
          <w:lang w:eastAsia="en-GB"/>
        </w:rPr>
        <w:t>1</w:t>
      </w:r>
      <w:r w:rsidR="00C336C8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vertAlign w:val="superscript"/>
          <w:lang w:eastAsia="en-GB"/>
        </w:rPr>
        <w:t xml:space="preserve"> </w:t>
      </w:r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Dep</w:t>
      </w:r>
      <w:r w:rsidR="000B03D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artment of Export Agr</w:t>
      </w:r>
      <w:r w:rsidR="00B1042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iculture, Faculty of Agricultural</w:t>
      </w:r>
      <w:r w:rsidR="000B03D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 xml:space="preserve"> S</w:t>
      </w:r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ciences,</w:t>
      </w:r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vertAlign w:val="superscript"/>
          <w:lang w:eastAsia="en-GB"/>
        </w:rPr>
        <w:t xml:space="preserve"> </w:t>
      </w:r>
      <w:proofErr w:type="spellStart"/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Sabaragamuwa</w:t>
      </w:r>
      <w:proofErr w:type="spellEnd"/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 xml:space="preserve"> University of Sri Lanka, </w:t>
      </w:r>
      <w:proofErr w:type="spellStart"/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Belihuloya</w:t>
      </w:r>
      <w:proofErr w:type="spellEnd"/>
      <w:r w:rsidR="00597243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, Sri Lanka.</w:t>
      </w:r>
    </w:p>
    <w:p w:rsidR="00597243" w:rsidRDefault="00597243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</w:pPr>
      <w:r w:rsidRPr="005972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en-GB"/>
        </w:rPr>
        <w:t>2</w:t>
      </w:r>
      <w:r w:rsidR="00C336C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  <w:lang w:eastAsia="en-GB"/>
        </w:rPr>
        <w:t xml:space="preserve"> </w:t>
      </w:r>
      <w:r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 xml:space="preserve">National Institute </w:t>
      </w:r>
      <w:r w:rsidR="00C336C8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of Post-Harvest</w:t>
      </w:r>
      <w:r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 xml:space="preserve"> Management, </w:t>
      </w:r>
      <w:r w:rsidR="00C336C8" w:rsidRPr="00C336C8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Anuradhapura, Sri Lanka.</w:t>
      </w:r>
    </w:p>
    <w:p w:rsidR="00EF1E8E" w:rsidRDefault="00EF1E8E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  <w:t>*rashmibandara988@gmail.com</w:t>
      </w:r>
    </w:p>
    <w:p w:rsidR="00D3343D" w:rsidRDefault="00873385" w:rsidP="00225658">
      <w:pPr>
        <w:tabs>
          <w:tab w:val="left" w:pos="5400"/>
          <w:tab w:val="left" w:pos="7148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Guava, bitter gourd, and long bean are economically important crops</w:t>
      </w:r>
      <w:r w:rsidR="00B104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in Sri Lanka.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Anuradhapura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K</w:t>
      </w:r>
      <w:r w:rsidR="00B104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urunegala</w:t>
      </w:r>
      <w:proofErr w:type="spellEnd"/>
      <w:r w:rsidR="00B104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districts, significantly contribu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te to commercial production </w:t>
      </w:r>
      <w:r w:rsidR="003373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of 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these commodities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</w:t>
      </w:r>
      <w:r w:rsidR="005063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Improper post-harvest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management practices result </w:t>
      </w:r>
      <w:r w:rsidR="008652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qualitative and qu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ntitative losses in the</w:t>
      </w:r>
      <w:r w:rsidR="008652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supply chain.</w:t>
      </w:r>
      <w:r w:rsidR="005063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The present study was conducted to investigate the causes of post-harvest losses in order to propose measures to minimize post-harvest losses of these commodities. 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Based on the cul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tivation extent and market size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sample size is 213 stakeho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lders including 148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from Anuradhap</w:t>
      </w:r>
      <w:r w:rsidR="00D335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ura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65</w:t>
      </w:r>
      <w:r w:rsidR="00D335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from </w:t>
      </w:r>
      <w:proofErr w:type="spellStart"/>
      <w:r w:rsidR="00D335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Kurunegala</w:t>
      </w:r>
      <w:proofErr w:type="spellEnd"/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Farmers were randomly selected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from 3-4 divisional secretariat divisions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of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each district. Other stakeholders 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were selected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randomly 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from major selling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economic centers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in respective districts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According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to the study, most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guava and bitter gourd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farmers 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in both districts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consider maturity indices. The harvesting method and time o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 the day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are more or less similar in each district. Some farmers transport their own commodities. Most of the collectors act as transporters as well. As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mean of transportation method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closed trucks/lorries, open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trucks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and three-wheeler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 are commonly used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Most commonly used packaging materials are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net bags, plastic</w:t>
      </w:r>
      <w:r w:rsidR="003E1E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crates</w:t>
      </w:r>
      <w:r w:rsidR="003E1E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c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ardboard boxes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The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usage of packaging materials 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among stakeholders in Anuradhapura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is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signific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antly different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3373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and</w:t>
      </w:r>
      <w:r w:rsidR="00304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Kurunegala</w:t>
      </w:r>
      <w:proofErr w:type="spellEnd"/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is not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 W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hen compare two districts packaging materials used by farmers, wholesalers and retailers are significantly different there as that of collectors and transporters are significantly not different</w:t>
      </w:r>
      <w:r w:rsidR="00304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Although, using plastic </w:t>
      </w:r>
      <w:r w:rsidR="00001CEB" w:rsidRPr="00E205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crates is a</w:t>
      </w:r>
      <w:r w:rsidR="00532E14" w:rsidRPr="00E205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safe packagin</w:t>
      </w:r>
      <w:r w:rsidR="00F64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 method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most of </w:t>
      </w:r>
      <w:r w:rsidR="00FC47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the 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stake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holders</w:t>
      </w:r>
      <w:r w:rsidR="00F64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do not use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Instead, they use net bags due to 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handling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diffic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ulties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no proper method to return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hi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gh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purchasing 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cost 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and less availability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of plastic crates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Acc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ording to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study, </w:t>
      </w:r>
      <w:r w:rsidR="00D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need to</w:t>
      </w:r>
      <w:bookmarkStart w:id="0" w:name="_GoBack"/>
      <w:bookmarkEnd w:id="0"/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conduct training and awareness programs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about post-harvest handling, transporting and safe packaging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p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romote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fac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ilitate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use of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pl</w:t>
      </w:r>
      <w:r w:rsidR="00CC44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ast</w:t>
      </w:r>
      <w:r w:rsidR="005C09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ic crates and 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bring </w:t>
      </w:r>
      <w:r w:rsidR="005C09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legislation</w:t>
      </w:r>
      <w:r w:rsidR="00CC44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to make the use of plastic crates mandatory.</w:t>
      </w:r>
    </w:p>
    <w:p w:rsidR="00EF1E8E" w:rsidRDefault="005D6AB5" w:rsidP="00727012">
      <w:pPr>
        <w:tabs>
          <w:tab w:val="left" w:pos="7148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5D6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Keywords</w:t>
      </w:r>
      <w:r w:rsidRPr="007742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:</w:t>
      </w:r>
      <w:r w:rsidR="000C7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D33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maturity indices, post-harvest losses, </w:t>
      </w:r>
      <w:r w:rsidR="00774221" w:rsidRPr="00774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stakeholder,</w:t>
      </w:r>
      <w:r w:rsidR="00D33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 safe packaging, </w:t>
      </w:r>
      <w:r w:rsidR="000C7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supply chain</w:t>
      </w:r>
    </w:p>
    <w:p w:rsidR="000B03D8" w:rsidRPr="00A75046" w:rsidRDefault="000B03D8" w:rsidP="005F535A">
      <w:pPr>
        <w:tabs>
          <w:tab w:val="left" w:pos="7148"/>
        </w:tabs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C336C8" w:rsidRDefault="00C336C8" w:rsidP="00C5198D">
      <w:pPr>
        <w:tabs>
          <w:tab w:val="left" w:pos="7148"/>
        </w:tabs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</w:pPr>
    </w:p>
    <w:p w:rsidR="005C7639" w:rsidRPr="007F4C1E" w:rsidRDefault="00DC236B">
      <w:pPr>
        <w:rPr>
          <w:sz w:val="20"/>
          <w:szCs w:val="20"/>
        </w:rPr>
      </w:pPr>
    </w:p>
    <w:sectPr w:rsidR="005C7639" w:rsidRPr="007F4C1E" w:rsidSect="00C735DF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DF"/>
    <w:rsid w:val="00001CEB"/>
    <w:rsid w:val="0008188A"/>
    <w:rsid w:val="000B03D8"/>
    <w:rsid w:val="000C68E4"/>
    <w:rsid w:val="000C74B1"/>
    <w:rsid w:val="00153D60"/>
    <w:rsid w:val="00225658"/>
    <w:rsid w:val="00232228"/>
    <w:rsid w:val="00240247"/>
    <w:rsid w:val="00242DB3"/>
    <w:rsid w:val="002A4395"/>
    <w:rsid w:val="002D778F"/>
    <w:rsid w:val="002E197B"/>
    <w:rsid w:val="00304F3A"/>
    <w:rsid w:val="003373E8"/>
    <w:rsid w:val="00393806"/>
    <w:rsid w:val="003E1EF6"/>
    <w:rsid w:val="00430A13"/>
    <w:rsid w:val="0044088C"/>
    <w:rsid w:val="005063A6"/>
    <w:rsid w:val="00526510"/>
    <w:rsid w:val="00532E14"/>
    <w:rsid w:val="00547FDE"/>
    <w:rsid w:val="00597243"/>
    <w:rsid w:val="005C092F"/>
    <w:rsid w:val="005D6AB5"/>
    <w:rsid w:val="005E3567"/>
    <w:rsid w:val="005F535A"/>
    <w:rsid w:val="0061017A"/>
    <w:rsid w:val="006216AC"/>
    <w:rsid w:val="0067059E"/>
    <w:rsid w:val="0068047D"/>
    <w:rsid w:val="00727012"/>
    <w:rsid w:val="00774221"/>
    <w:rsid w:val="007C6DBC"/>
    <w:rsid w:val="007F4C1E"/>
    <w:rsid w:val="008652FA"/>
    <w:rsid w:val="00873385"/>
    <w:rsid w:val="0096400B"/>
    <w:rsid w:val="009B021F"/>
    <w:rsid w:val="009D5ED1"/>
    <w:rsid w:val="00A45ED2"/>
    <w:rsid w:val="00A75046"/>
    <w:rsid w:val="00AA4324"/>
    <w:rsid w:val="00AE3A66"/>
    <w:rsid w:val="00AF2A78"/>
    <w:rsid w:val="00B10427"/>
    <w:rsid w:val="00B2019C"/>
    <w:rsid w:val="00B21C3D"/>
    <w:rsid w:val="00B8595E"/>
    <w:rsid w:val="00B96401"/>
    <w:rsid w:val="00C05D40"/>
    <w:rsid w:val="00C325A9"/>
    <w:rsid w:val="00C336C8"/>
    <w:rsid w:val="00C5198D"/>
    <w:rsid w:val="00C735DF"/>
    <w:rsid w:val="00C913C4"/>
    <w:rsid w:val="00CC4441"/>
    <w:rsid w:val="00CD5959"/>
    <w:rsid w:val="00CF6E19"/>
    <w:rsid w:val="00D3343D"/>
    <w:rsid w:val="00D335A9"/>
    <w:rsid w:val="00DA12AE"/>
    <w:rsid w:val="00DC236B"/>
    <w:rsid w:val="00E2056A"/>
    <w:rsid w:val="00E34CC2"/>
    <w:rsid w:val="00EB6811"/>
    <w:rsid w:val="00EF1E8E"/>
    <w:rsid w:val="00F64A78"/>
    <w:rsid w:val="00F77C23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A725-E1FE-4BC5-B7BF-8D405CB4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1E"/>
    <w:rPr>
      <w:rFonts w:cs="Latha"/>
      <w:lang w:bidi="ta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2022-12-20T10:05:00Z</dcterms:created>
  <dcterms:modified xsi:type="dcterms:W3CDTF">2022-12-22T01:24:00Z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4221401b-b488-497d-b4e8-ee606dbba26e</vt:lpwstr>
  </property>
</Properties>
</file>