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A7" w:rsidRPr="00B64CAE" w:rsidRDefault="009C07A7" w:rsidP="00717FF0">
      <w:pPr>
        <w:spacing w:line="276" w:lineRule="auto"/>
        <w:jc w:val="center"/>
        <w:rPr>
          <w:rFonts w:ascii="Times New Roman" w:hAnsi="Times New Roman" w:cs="Times New Roman"/>
          <w:b/>
          <w:bCs/>
          <w:sz w:val="28"/>
          <w:szCs w:val="28"/>
          <w:lang w:val="en-GB"/>
        </w:rPr>
      </w:pPr>
      <w:r w:rsidRPr="00B64CAE">
        <w:rPr>
          <w:rFonts w:ascii="Times New Roman" w:hAnsi="Times New Roman" w:cs="Times New Roman"/>
          <w:b/>
          <w:bCs/>
          <w:sz w:val="28"/>
          <w:szCs w:val="28"/>
          <w:lang w:val="en-GB"/>
        </w:rPr>
        <w:t xml:space="preserve">Effect of Selected Essential Oils on </w:t>
      </w:r>
      <w:r w:rsidRPr="00B64CAE">
        <w:rPr>
          <w:rFonts w:ascii="Times New Roman" w:hAnsi="Times New Roman" w:cs="Times New Roman"/>
          <w:b/>
          <w:bCs/>
          <w:i/>
          <w:iCs/>
          <w:sz w:val="28"/>
          <w:szCs w:val="28"/>
          <w:lang w:val="en-GB"/>
        </w:rPr>
        <w:t>Colletotrichum musae</w:t>
      </w:r>
      <w:r w:rsidRPr="00B64CAE">
        <w:rPr>
          <w:rFonts w:ascii="Times New Roman" w:hAnsi="Times New Roman" w:cs="Times New Roman"/>
          <w:b/>
          <w:bCs/>
          <w:sz w:val="28"/>
          <w:szCs w:val="28"/>
          <w:lang w:val="en-GB"/>
        </w:rPr>
        <w:t xml:space="preserve"> Causing Anthracnose in Banana (</w:t>
      </w:r>
      <w:r w:rsidRPr="00B64CAE">
        <w:rPr>
          <w:rFonts w:ascii="Times New Roman" w:hAnsi="Times New Roman" w:cs="Times New Roman"/>
          <w:b/>
          <w:bCs/>
          <w:i/>
          <w:sz w:val="28"/>
          <w:szCs w:val="28"/>
          <w:lang w:val="en-GB"/>
        </w:rPr>
        <w:t>Musa spp</w:t>
      </w:r>
      <w:r w:rsidRPr="00B64CAE">
        <w:rPr>
          <w:rFonts w:ascii="Times New Roman" w:hAnsi="Times New Roman" w:cs="Times New Roman"/>
          <w:b/>
          <w:bCs/>
          <w:sz w:val="28"/>
          <w:szCs w:val="28"/>
          <w:lang w:val="en-GB"/>
        </w:rPr>
        <w:t xml:space="preserve"> L.CV. Seeni Kesel Banana)</w:t>
      </w:r>
    </w:p>
    <w:p w:rsidR="00092546" w:rsidRPr="00B64CAE" w:rsidRDefault="00221F9F" w:rsidP="00717FF0">
      <w:pPr>
        <w:spacing w:line="276" w:lineRule="auto"/>
        <w:jc w:val="center"/>
        <w:rPr>
          <w:rFonts w:ascii="Times New Roman" w:hAnsi="Times New Roman" w:cs="Times New Roman"/>
          <w:b/>
          <w:sz w:val="24"/>
          <w:szCs w:val="24"/>
        </w:rPr>
      </w:pPr>
      <w:r w:rsidRPr="00B64CAE">
        <w:rPr>
          <w:rFonts w:ascii="Times New Roman" w:hAnsi="Times New Roman" w:cs="Times New Roman"/>
          <w:b/>
          <w:sz w:val="24"/>
          <w:szCs w:val="24"/>
          <w:u w:val="single"/>
        </w:rPr>
        <w:t xml:space="preserve">DMDM </w:t>
      </w:r>
      <w:r w:rsidR="00092546" w:rsidRPr="00B64CAE">
        <w:rPr>
          <w:rFonts w:ascii="Times New Roman" w:hAnsi="Times New Roman" w:cs="Times New Roman"/>
          <w:b/>
          <w:sz w:val="24"/>
          <w:szCs w:val="24"/>
          <w:u w:val="single"/>
        </w:rPr>
        <w:t>Senevirathna</w:t>
      </w:r>
      <w:r w:rsidR="00092546" w:rsidRPr="00B64CAE">
        <w:rPr>
          <w:rFonts w:ascii="Times New Roman" w:hAnsi="Times New Roman" w:cs="Times New Roman"/>
          <w:b/>
          <w:sz w:val="24"/>
          <w:szCs w:val="24"/>
          <w:u w:val="single"/>
          <w:vertAlign w:val="superscript"/>
        </w:rPr>
        <w:t>1</w:t>
      </w:r>
      <w:r w:rsidR="00006F36" w:rsidRPr="00B64CAE">
        <w:rPr>
          <w:rFonts w:ascii="Times New Roman" w:hAnsi="Times New Roman" w:cs="Times New Roman"/>
          <w:b/>
          <w:sz w:val="24"/>
          <w:szCs w:val="24"/>
          <w:u w:val="single"/>
          <w:vertAlign w:val="superscript"/>
        </w:rPr>
        <w:t>*</w:t>
      </w:r>
      <w:r w:rsidRPr="00B64CAE">
        <w:rPr>
          <w:rFonts w:ascii="Times New Roman" w:hAnsi="Times New Roman" w:cs="Times New Roman"/>
          <w:b/>
          <w:sz w:val="24"/>
          <w:szCs w:val="24"/>
        </w:rPr>
        <w:t xml:space="preserve">, PK </w:t>
      </w:r>
      <w:r w:rsidR="00092546" w:rsidRPr="00B64CAE">
        <w:rPr>
          <w:rFonts w:ascii="Times New Roman" w:hAnsi="Times New Roman" w:cs="Times New Roman"/>
          <w:b/>
          <w:sz w:val="24"/>
          <w:szCs w:val="24"/>
        </w:rPr>
        <w:t>Dissanayake</w:t>
      </w:r>
      <w:r w:rsidR="00B27F0B" w:rsidRPr="00B64CAE">
        <w:rPr>
          <w:rFonts w:ascii="Times New Roman" w:hAnsi="Times New Roman" w:cs="Times New Roman"/>
          <w:b/>
          <w:sz w:val="24"/>
          <w:szCs w:val="24"/>
          <w:vertAlign w:val="superscript"/>
        </w:rPr>
        <w:t>1</w:t>
      </w:r>
      <w:r w:rsidRPr="00B64CAE">
        <w:rPr>
          <w:rFonts w:ascii="Times New Roman" w:hAnsi="Times New Roman" w:cs="Times New Roman"/>
          <w:b/>
          <w:sz w:val="24"/>
          <w:szCs w:val="24"/>
        </w:rPr>
        <w:t xml:space="preserve"> and WMAUKM </w:t>
      </w:r>
      <w:r w:rsidR="00092546" w:rsidRPr="00B64CAE">
        <w:rPr>
          <w:rFonts w:ascii="Times New Roman" w:hAnsi="Times New Roman" w:cs="Times New Roman"/>
          <w:b/>
          <w:sz w:val="24"/>
          <w:szCs w:val="24"/>
        </w:rPr>
        <w:t>Wijesekara</w:t>
      </w:r>
      <w:r w:rsidR="00AD682A" w:rsidRPr="00B64CAE">
        <w:rPr>
          <w:rFonts w:ascii="Times New Roman" w:hAnsi="Times New Roman" w:cs="Times New Roman"/>
          <w:b/>
          <w:sz w:val="24"/>
          <w:szCs w:val="24"/>
          <w:vertAlign w:val="superscript"/>
        </w:rPr>
        <w:t>1</w:t>
      </w:r>
    </w:p>
    <w:p w:rsidR="00092546" w:rsidRPr="00B64CAE" w:rsidRDefault="00092546" w:rsidP="00717FF0">
      <w:pPr>
        <w:spacing w:line="276" w:lineRule="auto"/>
        <w:jc w:val="center"/>
        <w:rPr>
          <w:rFonts w:ascii="Times New Roman" w:hAnsi="Times New Roman" w:cs="Times New Roman"/>
          <w:i/>
          <w:iCs/>
        </w:rPr>
      </w:pPr>
      <w:r w:rsidRPr="00B64CAE">
        <w:rPr>
          <w:rFonts w:ascii="Times New Roman" w:hAnsi="Times New Roman" w:cs="Times New Roman"/>
          <w:i/>
          <w:iCs/>
          <w:vertAlign w:val="superscript"/>
        </w:rPr>
        <w:t>1</w:t>
      </w:r>
      <w:r w:rsidRPr="00B64CAE">
        <w:rPr>
          <w:rFonts w:ascii="Times New Roman" w:hAnsi="Times New Roman" w:cs="Times New Roman"/>
          <w:i/>
          <w:iCs/>
        </w:rPr>
        <w:t>Department of Export Agriculture, Faculty of Agricultural Sciences, Sabaragamuwa University of Sri Lanka, Belihuloya, Sri Lanka</w:t>
      </w:r>
    </w:p>
    <w:p w:rsidR="00745273" w:rsidRPr="008E3D81" w:rsidRDefault="00770818" w:rsidP="00717FF0">
      <w:pPr>
        <w:spacing w:line="276" w:lineRule="auto"/>
        <w:jc w:val="center"/>
        <w:rPr>
          <w:rFonts w:ascii="Times New Roman" w:hAnsi="Times New Roman" w:cs="Times New Roman"/>
          <w:i/>
          <w:iCs/>
        </w:rPr>
      </w:pPr>
      <w:hyperlink r:id="rId6" w:history="1">
        <w:r w:rsidR="00006F36" w:rsidRPr="008E3D81">
          <w:rPr>
            <w:rStyle w:val="Hyperlink"/>
            <w:rFonts w:ascii="Times New Roman" w:hAnsi="Times New Roman" w:cs="Times New Roman"/>
            <w:i/>
            <w:iCs/>
          </w:rPr>
          <w:t>*deepikamaduwanthi95@gmail.com</w:t>
        </w:r>
      </w:hyperlink>
      <w:r w:rsidR="00006F36" w:rsidRPr="008E3D81">
        <w:rPr>
          <w:rFonts w:ascii="Times New Roman" w:hAnsi="Times New Roman" w:cs="Times New Roman"/>
          <w:i/>
          <w:iCs/>
        </w:rPr>
        <w:t xml:space="preserve"> </w:t>
      </w:r>
    </w:p>
    <w:p w:rsidR="009C07A7" w:rsidRPr="00D109FB" w:rsidRDefault="009C07A7" w:rsidP="008E3D81">
      <w:pPr>
        <w:spacing w:line="240" w:lineRule="auto"/>
        <w:jc w:val="both"/>
        <w:rPr>
          <w:rFonts w:ascii="Times New Roman" w:hAnsi="Times New Roman" w:cs="Times New Roman"/>
          <w:sz w:val="24"/>
          <w:szCs w:val="24"/>
          <w:lang w:val="en-GB"/>
        </w:rPr>
      </w:pPr>
      <w:r w:rsidRPr="00D109FB">
        <w:rPr>
          <w:rFonts w:ascii="Times New Roman" w:hAnsi="Times New Roman" w:cs="Times New Roman"/>
          <w:sz w:val="24"/>
          <w:szCs w:val="24"/>
          <w:lang w:val="en-GB"/>
        </w:rPr>
        <w:t>Banana (</w:t>
      </w:r>
      <w:r w:rsidRPr="00D109FB">
        <w:rPr>
          <w:rFonts w:ascii="Times New Roman" w:hAnsi="Times New Roman" w:cs="Times New Roman"/>
          <w:i/>
          <w:iCs/>
          <w:sz w:val="24"/>
          <w:szCs w:val="24"/>
          <w:lang w:val="en-GB"/>
        </w:rPr>
        <w:t>Musa spp</w:t>
      </w:r>
      <w:r w:rsidRPr="00D109FB">
        <w:rPr>
          <w:rFonts w:ascii="Times New Roman" w:hAnsi="Times New Roman" w:cs="Times New Roman"/>
          <w:sz w:val="24"/>
          <w:szCs w:val="24"/>
          <w:lang w:val="en-GB"/>
        </w:rPr>
        <w:t xml:space="preserve"> L.CV. Seeni Kesel) has high nutritional and economical value. Postharvest disease anthracnose is one of the most distributed and devastating diseases of banana, especially at ripening stage. The application of synthetic fungicides is a common practice for controlling postharvest disease</w:t>
      </w:r>
      <w:r w:rsidR="00514DCB">
        <w:rPr>
          <w:rFonts w:ascii="Times New Roman" w:hAnsi="Times New Roman" w:cs="Times New Roman"/>
          <w:sz w:val="24"/>
          <w:szCs w:val="24"/>
          <w:lang w:val="en-GB"/>
        </w:rPr>
        <w:t>s</w:t>
      </w:r>
      <w:r w:rsidRPr="00D109FB">
        <w:rPr>
          <w:rFonts w:ascii="Times New Roman" w:hAnsi="Times New Roman" w:cs="Times New Roman"/>
          <w:sz w:val="24"/>
          <w:szCs w:val="24"/>
          <w:lang w:val="en-GB"/>
        </w:rPr>
        <w:t>. However</w:t>
      </w:r>
      <w:r>
        <w:rPr>
          <w:rFonts w:ascii="Times New Roman" w:hAnsi="Times New Roman" w:cs="Times New Roman"/>
          <w:sz w:val="24"/>
          <w:szCs w:val="24"/>
          <w:lang w:val="en-GB"/>
        </w:rPr>
        <w:t xml:space="preserve"> </w:t>
      </w:r>
      <w:r w:rsidRPr="00D109FB">
        <w:rPr>
          <w:rFonts w:ascii="Times New Roman" w:hAnsi="Times New Roman" w:cs="Times New Roman"/>
          <w:sz w:val="24"/>
          <w:szCs w:val="24"/>
          <w:lang w:val="en-GB"/>
        </w:rPr>
        <w:t>s</w:t>
      </w:r>
      <w:r>
        <w:rPr>
          <w:rFonts w:ascii="Times New Roman" w:hAnsi="Times New Roman" w:cs="Times New Roman"/>
          <w:sz w:val="24"/>
          <w:szCs w:val="24"/>
          <w:lang w:val="en-GB"/>
        </w:rPr>
        <w:t xml:space="preserve">ynthetic fungicides application </w:t>
      </w:r>
      <w:r w:rsidRPr="00D109FB">
        <w:rPr>
          <w:rFonts w:ascii="Times New Roman" w:hAnsi="Times New Roman" w:cs="Times New Roman"/>
          <w:sz w:val="24"/>
          <w:szCs w:val="24"/>
          <w:lang w:val="en-GB"/>
        </w:rPr>
        <w:t>badly affect</w:t>
      </w:r>
      <w:r w:rsidR="00514DCB">
        <w:rPr>
          <w:rFonts w:ascii="Times New Roman" w:hAnsi="Times New Roman" w:cs="Times New Roman"/>
          <w:sz w:val="24"/>
          <w:szCs w:val="24"/>
          <w:lang w:val="en-GB"/>
        </w:rPr>
        <w:t>s</w:t>
      </w:r>
      <w:r w:rsidRPr="00D109FB">
        <w:rPr>
          <w:rFonts w:ascii="Times New Roman" w:hAnsi="Times New Roman" w:cs="Times New Roman"/>
          <w:sz w:val="24"/>
          <w:szCs w:val="24"/>
          <w:lang w:val="en-GB"/>
        </w:rPr>
        <w:t xml:space="preserve"> human health because those fungicides have a lot of chemical residues. Therefore, search for alternative measures for the control of anthracnose are essential. To determine the causative agent, fungal isolation was done from symptomatic fruits and fungi were identified by morphological </w:t>
      </w:r>
      <w:r w:rsidR="00514DCB">
        <w:rPr>
          <w:rFonts w:ascii="Times New Roman" w:hAnsi="Times New Roman" w:cs="Times New Roman"/>
          <w:sz w:val="24"/>
          <w:szCs w:val="24"/>
          <w:lang w:val="en-GB"/>
        </w:rPr>
        <w:t>features comparing those</w:t>
      </w:r>
      <w:r>
        <w:rPr>
          <w:rFonts w:ascii="Times New Roman" w:hAnsi="Times New Roman" w:cs="Times New Roman"/>
          <w:sz w:val="24"/>
          <w:szCs w:val="24"/>
          <w:lang w:val="en-GB"/>
        </w:rPr>
        <w:t xml:space="preserve"> available literature</w:t>
      </w:r>
      <w:r w:rsidRPr="00D109FB">
        <w:rPr>
          <w:rFonts w:ascii="Times New Roman" w:hAnsi="Times New Roman" w:cs="Times New Roman"/>
          <w:sz w:val="24"/>
          <w:szCs w:val="24"/>
          <w:lang w:val="en-GB"/>
        </w:rPr>
        <w:t>. Cinnamon leaf oil, Nutmeg oil, Black pepper oil</w:t>
      </w:r>
      <w:r w:rsidR="00361206">
        <w:rPr>
          <w:rFonts w:ascii="Times New Roman" w:hAnsi="Times New Roman" w:cs="Times New Roman"/>
          <w:sz w:val="24"/>
          <w:szCs w:val="24"/>
          <w:lang w:val="en-GB"/>
        </w:rPr>
        <w:t>s were used as essential oils</w:t>
      </w:r>
      <w:r w:rsidRPr="00D109FB">
        <w:rPr>
          <w:rFonts w:ascii="Times New Roman" w:hAnsi="Times New Roman" w:cs="Times New Roman"/>
          <w:sz w:val="24"/>
          <w:szCs w:val="24"/>
          <w:lang w:val="en-GB"/>
        </w:rPr>
        <w:t xml:space="preserve"> </w:t>
      </w:r>
      <w:r w:rsidRPr="00D109FB">
        <w:rPr>
          <w:rFonts w:ascii="Times New Roman" w:hAnsi="Times New Roman" w:cs="Times New Roman"/>
          <w:i/>
          <w:iCs/>
          <w:sz w:val="24"/>
          <w:szCs w:val="24"/>
          <w:lang w:val="en-GB"/>
        </w:rPr>
        <w:t xml:space="preserve">in vitro </w:t>
      </w:r>
      <w:r>
        <w:rPr>
          <w:rFonts w:ascii="Times New Roman" w:hAnsi="Times New Roman" w:cs="Times New Roman"/>
          <w:sz w:val="24"/>
          <w:szCs w:val="24"/>
          <w:lang w:val="en-GB"/>
        </w:rPr>
        <w:t>fungicidal assay</w:t>
      </w:r>
      <w:r w:rsidRPr="00D109FB">
        <w:rPr>
          <w:rFonts w:ascii="Times New Roman" w:hAnsi="Times New Roman" w:cs="Times New Roman"/>
          <w:sz w:val="24"/>
          <w:szCs w:val="24"/>
          <w:lang w:val="en-GB"/>
        </w:rPr>
        <w:t xml:space="preserve"> to assess their ability to control the pathogen. The mycelial growth inhibitory capacity of five concentrations (1200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1400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625CDE" w:rsidDel="0065574C">
        <w:rPr>
          <w:rFonts w:ascii="Times New Roman" w:hAnsi="Times New Roman" w:cs="Times New Roman"/>
          <w:sz w:val="24"/>
          <w:szCs w:val="24"/>
          <w:lang w:val="en-GB"/>
        </w:rPr>
        <w:t xml:space="preserve"> </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 1600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1800 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0003517C">
        <w:rPr>
          <w:rFonts w:ascii="Times New Roman" w:hAnsi="Times New Roman" w:cs="Times New Roman"/>
          <w:sz w:val="24"/>
          <w:szCs w:val="24"/>
          <w:vertAlign w:val="superscript"/>
          <w:lang w:val="en-GB"/>
        </w:rPr>
        <w:t>.</w:t>
      </w:r>
      <w:r w:rsidRPr="00D109FB">
        <w:rPr>
          <w:rFonts w:ascii="Times New Roman" w:hAnsi="Times New Roman" w:cs="Times New Roman"/>
          <w:sz w:val="24"/>
          <w:szCs w:val="24"/>
          <w:lang w:val="en-GB"/>
        </w:rPr>
        <w:t>μ</w:t>
      </w:r>
      <w:r>
        <w:rPr>
          <w:rFonts w:ascii="Times New Roman" w:hAnsi="Times New Roman" w:cs="Times New Roman"/>
          <w:sz w:val="24"/>
          <w:szCs w:val="24"/>
          <w:lang w:val="en-GB"/>
        </w:rPr>
        <w:t>L</w:t>
      </w:r>
      <w:r w:rsidRPr="00D109FB">
        <w:rPr>
          <w:rFonts w:ascii="Times New Roman" w:hAnsi="Times New Roman" w:cs="Times New Roman"/>
          <w:sz w:val="24"/>
          <w:szCs w:val="24"/>
          <w:lang w:val="en-GB"/>
        </w:rPr>
        <w:t>, 2000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of black pepper oil, six concentrations (400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600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800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1000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1200 μ</w:t>
      </w:r>
      <w:r>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1400 μL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of cinnamon leaf oil and six concentrations (200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,400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600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800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1000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1200 μ</w:t>
      </w:r>
      <w:r w:rsidRPr="00E45F37">
        <w:rPr>
          <w:rFonts w:ascii="Times New Roman" w:hAnsi="Times New Roman" w:cs="Times New Roman"/>
          <w:sz w:val="24"/>
          <w:szCs w:val="24"/>
          <w:lang w:val="en-GB"/>
        </w:rPr>
        <w:t>L</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of nutmeg oils were assessed using </w:t>
      </w:r>
      <w:r w:rsidRPr="00D109FB">
        <w:rPr>
          <w:rFonts w:ascii="Times New Roman" w:hAnsi="Times New Roman" w:cs="Times New Roman"/>
          <w:i/>
          <w:iCs/>
          <w:sz w:val="24"/>
          <w:szCs w:val="24"/>
          <w:lang w:val="en-GB"/>
        </w:rPr>
        <w:t>in vitro</w:t>
      </w:r>
      <w:r w:rsidRPr="00D109FB">
        <w:rPr>
          <w:rFonts w:ascii="Times New Roman" w:hAnsi="Times New Roman" w:cs="Times New Roman"/>
          <w:sz w:val="24"/>
          <w:szCs w:val="24"/>
          <w:lang w:val="en-GB"/>
        </w:rPr>
        <w:t xml:space="preserve"> disc volatilization method. The identified causative agent was </w:t>
      </w:r>
      <w:r w:rsidRPr="00D109FB">
        <w:rPr>
          <w:rFonts w:ascii="Times New Roman" w:hAnsi="Times New Roman" w:cs="Times New Roman"/>
          <w:i/>
          <w:iCs/>
          <w:sz w:val="24"/>
          <w:szCs w:val="24"/>
          <w:lang w:val="en-GB"/>
        </w:rPr>
        <w:t>Colletotrichum musae</w:t>
      </w:r>
      <w:r w:rsidRPr="00D109FB">
        <w:rPr>
          <w:rFonts w:ascii="Times New Roman" w:hAnsi="Times New Roman" w:cs="Times New Roman"/>
          <w:sz w:val="24"/>
          <w:szCs w:val="24"/>
          <w:lang w:val="en-GB"/>
        </w:rPr>
        <w:t>. Cinnamon leaf oil (1400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Pr="00D109FB">
        <w:rPr>
          <w:rFonts w:ascii="Times New Roman" w:hAnsi="Times New Roman" w:cs="Times New Roman"/>
          <w:sz w:val="24"/>
          <w:szCs w:val="24"/>
          <w:lang w:val="en-GB"/>
        </w:rPr>
        <w:t xml:space="preserve"> Nutmeg oil (1200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concentration showed 92.592 %</w:t>
      </w:r>
      <w:r>
        <w:rPr>
          <w:rFonts w:ascii="Times New Roman" w:hAnsi="Times New Roman" w:cs="Times New Roman"/>
          <w:sz w:val="24"/>
          <w:szCs w:val="24"/>
          <w:lang w:val="en-GB"/>
        </w:rPr>
        <w:t xml:space="preserve"> and </w:t>
      </w:r>
      <w:r w:rsidRPr="00D109FB">
        <w:rPr>
          <w:rFonts w:ascii="Times New Roman" w:hAnsi="Times New Roman" w:cs="Times New Roman"/>
          <w:sz w:val="24"/>
          <w:szCs w:val="24"/>
          <w:lang w:val="en-GB"/>
        </w:rPr>
        <w:t xml:space="preserve">92.592 % inhibition of radial mycelia growth against the pathogen </w:t>
      </w:r>
      <w:r>
        <w:rPr>
          <w:rFonts w:ascii="Times New Roman" w:hAnsi="Times New Roman" w:cs="Times New Roman"/>
          <w:sz w:val="24"/>
          <w:szCs w:val="24"/>
          <w:lang w:val="en-GB"/>
        </w:rPr>
        <w:t xml:space="preserve">which is </w:t>
      </w:r>
      <w:r w:rsidRPr="00D109FB">
        <w:rPr>
          <w:rFonts w:ascii="Times New Roman" w:hAnsi="Times New Roman" w:cs="Times New Roman"/>
          <w:sz w:val="24"/>
          <w:szCs w:val="24"/>
          <w:lang w:val="en-GB"/>
        </w:rPr>
        <w:t xml:space="preserve"> significantly (</w:t>
      </w:r>
      <w:r w:rsidRPr="00D109FB">
        <w:rPr>
          <w:rFonts w:ascii="Times New Roman" w:hAnsi="Times New Roman" w:cs="Times New Roman"/>
          <w:i/>
          <w:iCs/>
          <w:sz w:val="24"/>
          <w:szCs w:val="24"/>
          <w:lang w:val="en-GB"/>
        </w:rPr>
        <w:t>p</w:t>
      </w:r>
      <w:r w:rsidRPr="00D109FB">
        <w:rPr>
          <w:rFonts w:ascii="Times New Roman" w:hAnsi="Times New Roman" w:cs="Times New Roman"/>
          <w:sz w:val="24"/>
          <w:szCs w:val="24"/>
          <w:lang w:val="en-GB"/>
        </w:rPr>
        <w:t xml:space="preserve"> &lt; 0.05) different from other concentrations</w:t>
      </w:r>
      <w:r>
        <w:rPr>
          <w:rFonts w:ascii="Times New Roman" w:hAnsi="Times New Roman" w:cs="Times New Roman"/>
          <w:sz w:val="24"/>
          <w:szCs w:val="24"/>
          <w:lang w:val="en-GB"/>
        </w:rPr>
        <w:t xml:space="preserve"> tested</w:t>
      </w:r>
      <w:r w:rsidRPr="00D109FB">
        <w:rPr>
          <w:rFonts w:ascii="Times New Roman" w:hAnsi="Times New Roman" w:cs="Times New Roman"/>
          <w:sz w:val="24"/>
          <w:szCs w:val="24"/>
          <w:lang w:val="en-GB"/>
        </w:rPr>
        <w:t xml:space="preserve">. Black pepper oil </w:t>
      </w:r>
      <w:r>
        <w:rPr>
          <w:rFonts w:ascii="Times New Roman" w:hAnsi="Times New Roman" w:cs="Times New Roman"/>
          <w:sz w:val="24"/>
          <w:szCs w:val="24"/>
          <w:lang w:val="en-GB"/>
        </w:rPr>
        <w:t xml:space="preserve">ranges from </w:t>
      </w:r>
      <w:r w:rsidRPr="00D109FB">
        <w:rPr>
          <w:rFonts w:ascii="Times New Roman" w:hAnsi="Times New Roman" w:cs="Times New Roman"/>
          <w:sz w:val="24"/>
          <w:szCs w:val="24"/>
          <w:lang w:val="en-GB"/>
        </w:rPr>
        <w:t>1400 - 2000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xml:space="preserve"> concentrations </w:t>
      </w:r>
      <w:r>
        <w:rPr>
          <w:rFonts w:ascii="Times New Roman" w:hAnsi="Times New Roman" w:cs="Times New Roman"/>
          <w:sz w:val="24"/>
          <w:szCs w:val="24"/>
          <w:lang w:val="en-GB"/>
        </w:rPr>
        <w:t xml:space="preserve">did not showed </w:t>
      </w:r>
      <w:r w:rsidRPr="00D109FB">
        <w:rPr>
          <w:rFonts w:ascii="Times New Roman" w:hAnsi="Times New Roman" w:cs="Times New Roman"/>
          <w:sz w:val="24"/>
          <w:szCs w:val="24"/>
          <w:lang w:val="en-GB"/>
        </w:rPr>
        <w:t>no significant difference (</w:t>
      </w:r>
      <w:r w:rsidRPr="00D109FB">
        <w:rPr>
          <w:rFonts w:ascii="Times New Roman" w:hAnsi="Times New Roman" w:cs="Times New Roman"/>
          <w:i/>
          <w:iCs/>
          <w:sz w:val="24"/>
          <w:szCs w:val="24"/>
          <w:lang w:val="en-GB"/>
        </w:rPr>
        <w:t>p</w:t>
      </w:r>
      <w:r w:rsidRPr="00D109FB">
        <w:rPr>
          <w:rFonts w:ascii="Times New Roman" w:hAnsi="Times New Roman" w:cs="Times New Roman"/>
          <w:sz w:val="24"/>
          <w:szCs w:val="24"/>
          <w:lang w:val="en-GB"/>
        </w:rPr>
        <w:t xml:space="preserve"> &gt; 0.05)</w:t>
      </w:r>
      <w:r>
        <w:rPr>
          <w:rFonts w:ascii="Times New Roman" w:hAnsi="Times New Roman" w:cs="Times New Roman"/>
          <w:sz w:val="24"/>
          <w:szCs w:val="24"/>
          <w:lang w:val="en-GB"/>
        </w:rPr>
        <w:t xml:space="preserve"> compared negative control treatment</w:t>
      </w:r>
      <w:r w:rsidRPr="00D109FB">
        <w:rPr>
          <w:rFonts w:ascii="Times New Roman" w:hAnsi="Times New Roman" w:cs="Times New Roman"/>
          <w:sz w:val="24"/>
          <w:szCs w:val="24"/>
          <w:lang w:val="en-GB"/>
        </w:rPr>
        <w:t xml:space="preserve">. These results suggest that </w:t>
      </w:r>
      <w:r>
        <w:rPr>
          <w:rFonts w:ascii="Times New Roman" w:hAnsi="Times New Roman" w:cs="Times New Roman"/>
          <w:sz w:val="24"/>
          <w:szCs w:val="24"/>
          <w:lang w:val="en-GB"/>
        </w:rPr>
        <w:t xml:space="preserve">there is a potential to use </w:t>
      </w:r>
      <w:r w:rsidRPr="00D109FB">
        <w:rPr>
          <w:rFonts w:ascii="Times New Roman" w:hAnsi="Times New Roman" w:cs="Times New Roman"/>
          <w:sz w:val="24"/>
          <w:szCs w:val="24"/>
          <w:lang w:val="en-GB"/>
        </w:rPr>
        <w:t>cinnamon leaf (1400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nutmeg (1200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and black pepper oil (2000 μ</w:t>
      </w:r>
      <w:r w:rsidRPr="00E45F37">
        <w:rPr>
          <w:rFonts w:ascii="Times New Roman" w:hAnsi="Times New Roman" w:cs="Times New Roman"/>
          <w:sz w:val="24"/>
          <w:szCs w:val="24"/>
          <w:lang w:val="en-GB"/>
        </w:rPr>
        <w:t>L</w:t>
      </w:r>
      <w:r w:rsidR="0003517C">
        <w:rPr>
          <w:rFonts w:ascii="Times New Roman" w:hAnsi="Times New Roman" w:cs="Times New Roman"/>
          <w:sz w:val="24"/>
          <w:szCs w:val="24"/>
          <w:lang w:val="en-GB"/>
        </w:rPr>
        <w:t>.</w:t>
      </w:r>
      <w:r w:rsidRPr="00D109FB">
        <w:rPr>
          <w:rFonts w:ascii="Times New Roman" w:hAnsi="Times New Roman" w:cs="Times New Roman"/>
          <w:sz w:val="24"/>
          <w:szCs w:val="24"/>
          <w:lang w:val="en-GB"/>
        </w:rPr>
        <w:t>m</w:t>
      </w:r>
      <w:r w:rsidRPr="00E45F37">
        <w:rPr>
          <w:rFonts w:ascii="Times New Roman" w:hAnsi="Times New Roman" w:cs="Times New Roman"/>
          <w:sz w:val="24"/>
          <w:szCs w:val="24"/>
          <w:lang w:val="en-GB"/>
        </w:rPr>
        <w:t>L</w:t>
      </w:r>
      <w:r w:rsidRPr="00D109FB">
        <w:rPr>
          <w:rFonts w:ascii="Times New Roman" w:hAnsi="Times New Roman" w:cs="Times New Roman"/>
          <w:sz w:val="24"/>
          <w:szCs w:val="24"/>
          <w:vertAlign w:val="superscript"/>
          <w:lang w:val="en-GB"/>
        </w:rPr>
        <w:t>-1</w:t>
      </w:r>
      <w:r w:rsidRPr="00D109FB">
        <w:rPr>
          <w:rFonts w:ascii="Times New Roman" w:hAnsi="Times New Roman" w:cs="Times New Roman"/>
          <w:sz w:val="24"/>
          <w:szCs w:val="24"/>
          <w:lang w:val="en-GB"/>
        </w:rPr>
        <w:t>) concentrations as alternativ</w:t>
      </w:r>
      <w:r>
        <w:rPr>
          <w:rFonts w:ascii="Times New Roman" w:hAnsi="Times New Roman" w:cs="Times New Roman"/>
          <w:sz w:val="24"/>
          <w:szCs w:val="24"/>
          <w:lang w:val="en-GB"/>
        </w:rPr>
        <w:t xml:space="preserve">es to control banana anthracnose in </w:t>
      </w:r>
      <w:r w:rsidRPr="00FC326A">
        <w:rPr>
          <w:rFonts w:ascii="Times New Roman" w:hAnsi="Times New Roman" w:cs="Times New Roman"/>
          <w:i/>
          <w:iCs/>
          <w:sz w:val="24"/>
          <w:szCs w:val="24"/>
          <w:lang w:val="en-GB"/>
        </w:rPr>
        <w:t>in vivo</w:t>
      </w:r>
      <w:r w:rsidR="00497F3C">
        <w:rPr>
          <w:rFonts w:ascii="Times New Roman" w:hAnsi="Times New Roman" w:cs="Times New Roman"/>
          <w:sz w:val="24"/>
          <w:szCs w:val="24"/>
          <w:lang w:val="en-GB"/>
        </w:rPr>
        <w:t xml:space="preserve"> conditions.</w:t>
      </w:r>
    </w:p>
    <w:p w:rsidR="009C07A7" w:rsidRPr="008E3D81" w:rsidRDefault="009C07A7" w:rsidP="00717FF0">
      <w:pPr>
        <w:spacing w:line="276" w:lineRule="auto"/>
        <w:rPr>
          <w:rFonts w:ascii="Times New Roman" w:hAnsi="Times New Roman" w:cs="Times New Roman"/>
          <w:i/>
          <w:szCs w:val="24"/>
          <w:lang w:val="en-GB"/>
        </w:rPr>
      </w:pPr>
      <w:r w:rsidRPr="008E3D81">
        <w:rPr>
          <w:rFonts w:ascii="Times New Roman" w:hAnsi="Times New Roman" w:cs="Times New Roman"/>
          <w:b/>
          <w:bCs/>
          <w:szCs w:val="24"/>
          <w:lang w:val="en-GB"/>
        </w:rPr>
        <w:t>Keywords</w:t>
      </w:r>
      <w:r w:rsidRPr="008E3D81">
        <w:rPr>
          <w:rFonts w:ascii="Times New Roman" w:hAnsi="Times New Roman" w:cs="Times New Roman"/>
          <w:szCs w:val="24"/>
          <w:lang w:val="en-GB"/>
        </w:rPr>
        <w:t>:</w:t>
      </w:r>
      <w:r w:rsidRPr="008E3D81">
        <w:rPr>
          <w:rFonts w:ascii="Times New Roman" w:hAnsi="Times New Roman" w:cs="Times New Roman"/>
          <w:i/>
          <w:szCs w:val="24"/>
          <w:lang w:val="en-GB"/>
        </w:rPr>
        <w:t xml:space="preserve"> anthracnose, </w:t>
      </w:r>
      <w:r w:rsidRPr="008E3D81">
        <w:rPr>
          <w:rFonts w:ascii="Times New Roman" w:hAnsi="Times New Roman" w:cs="Times New Roman"/>
          <w:i/>
          <w:iCs/>
          <w:szCs w:val="24"/>
          <w:lang w:val="en-GB"/>
        </w:rPr>
        <w:t>Colletotrichum musae</w:t>
      </w:r>
      <w:r w:rsidRPr="008E3D81">
        <w:rPr>
          <w:rFonts w:ascii="Times New Roman" w:hAnsi="Times New Roman" w:cs="Times New Roman"/>
          <w:i/>
          <w:szCs w:val="24"/>
          <w:lang w:val="en-GB"/>
        </w:rPr>
        <w:t>, essential oils</w:t>
      </w:r>
      <w:bookmarkStart w:id="0" w:name="_GoBack"/>
      <w:bookmarkEnd w:id="0"/>
    </w:p>
    <w:sectPr w:rsidR="009C07A7" w:rsidRPr="008E3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18" w:rsidRDefault="00770818" w:rsidP="009C07A7">
      <w:pPr>
        <w:spacing w:after="0" w:line="240" w:lineRule="auto"/>
      </w:pPr>
      <w:r>
        <w:separator/>
      </w:r>
    </w:p>
  </w:endnote>
  <w:endnote w:type="continuationSeparator" w:id="0">
    <w:p w:rsidR="00770818" w:rsidRDefault="00770818" w:rsidP="009C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18" w:rsidRDefault="00770818" w:rsidP="009C07A7">
      <w:pPr>
        <w:spacing w:after="0" w:line="240" w:lineRule="auto"/>
      </w:pPr>
      <w:r>
        <w:separator/>
      </w:r>
    </w:p>
  </w:footnote>
  <w:footnote w:type="continuationSeparator" w:id="0">
    <w:p w:rsidR="00770818" w:rsidRDefault="00770818" w:rsidP="009C0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A7"/>
    <w:rsid w:val="00006F36"/>
    <w:rsid w:val="0003517C"/>
    <w:rsid w:val="00092546"/>
    <w:rsid w:val="00183BFF"/>
    <w:rsid w:val="001C409F"/>
    <w:rsid w:val="00221F9F"/>
    <w:rsid w:val="00361206"/>
    <w:rsid w:val="0036386D"/>
    <w:rsid w:val="0036682F"/>
    <w:rsid w:val="00497F3C"/>
    <w:rsid w:val="00514DCB"/>
    <w:rsid w:val="00717FF0"/>
    <w:rsid w:val="00745273"/>
    <w:rsid w:val="00770818"/>
    <w:rsid w:val="008E3D81"/>
    <w:rsid w:val="009A3F1D"/>
    <w:rsid w:val="009C07A7"/>
    <w:rsid w:val="00AD682A"/>
    <w:rsid w:val="00B27F0B"/>
    <w:rsid w:val="00B64CAE"/>
    <w:rsid w:val="00C66B6B"/>
    <w:rsid w:val="00D63741"/>
    <w:rsid w:val="00E9285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8DD3-BD74-48EA-A047-107318D2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7A7"/>
  </w:style>
  <w:style w:type="paragraph" w:styleId="Footer">
    <w:name w:val="footer"/>
    <w:basedOn w:val="Normal"/>
    <w:link w:val="FooterChar"/>
    <w:uiPriority w:val="99"/>
    <w:unhideWhenUsed/>
    <w:rsid w:val="009C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7A7"/>
  </w:style>
  <w:style w:type="character" w:styleId="Hyperlink">
    <w:name w:val="Hyperlink"/>
    <w:basedOn w:val="DefaultParagraphFont"/>
    <w:uiPriority w:val="99"/>
    <w:unhideWhenUsed/>
    <w:rsid w:val="00745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epikamaduwanthi95@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C&amp;D COMPTERS</dc:creator>
  <cp:keywords/>
  <dc:description/>
  <cp:lastModifiedBy>Guest</cp:lastModifiedBy>
  <cp:revision>3</cp:revision>
  <dcterms:created xsi:type="dcterms:W3CDTF">2023-03-03T21:24:00Z</dcterms:created>
  <dcterms:modified xsi:type="dcterms:W3CDTF">2023-03-08T15:35:00Z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fb82d1c1-e5b9-4ebd-adcb-0b44f3696de6</vt:lpwstr>
  </property>
</Properties>
</file>